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8A50" w14:textId="48644F5F" w:rsidR="00B377FF" w:rsidRDefault="00B377FF" w:rsidP="00B377FF">
      <w:pPr>
        <w:rPr>
          <w:lang w:val="et-EE"/>
        </w:rPr>
      </w:pPr>
      <w:r>
        <w:rPr>
          <w:lang w:val="et-EE"/>
        </w:rPr>
        <w:t>Justiits- ja Digiministeerium</w:t>
      </w:r>
    </w:p>
    <w:p w14:paraId="78C00E75" w14:textId="7AF7A658" w:rsidR="00B377FF" w:rsidRDefault="00B377FF" w:rsidP="00B377FF">
      <w:pPr>
        <w:rPr>
          <w:lang w:val="et-EE"/>
        </w:rPr>
      </w:pPr>
      <w:r w:rsidRPr="00B377FF">
        <w:rPr>
          <w:lang w:val="et-EE"/>
        </w:rPr>
        <w:t>Suur-Ameerika 1, 10122 Tallinn</w:t>
      </w:r>
    </w:p>
    <w:p w14:paraId="0ACB017C" w14:textId="293F3424" w:rsidR="00B377FF" w:rsidRPr="00B377FF" w:rsidRDefault="00B377FF" w:rsidP="00B377FF">
      <w:r w:rsidRPr="00B377FF">
        <w:rPr>
          <w:lang w:val="et-EE"/>
        </w:rPr>
        <w:t>Raavo Palu Raavo.Palu@mkm.ee</w:t>
      </w:r>
    </w:p>
    <w:p w14:paraId="5041883F" w14:textId="77777777" w:rsidR="00B377FF" w:rsidRDefault="00B377FF" w:rsidP="00B377FF">
      <w:pPr>
        <w:rPr>
          <w:b/>
          <w:bCs/>
        </w:rPr>
      </w:pPr>
    </w:p>
    <w:p w14:paraId="690020F8" w14:textId="4B45CFCB" w:rsidR="00B377FF" w:rsidRDefault="00B377FF" w:rsidP="00B377FF">
      <w:pPr>
        <w:rPr>
          <w:b/>
          <w:bCs/>
        </w:rPr>
      </w:pPr>
      <w:r w:rsidRPr="00B377FF">
        <w:rPr>
          <w:b/>
          <w:bCs/>
        </w:rPr>
        <w:t>K</w:t>
      </w:r>
      <w:r>
        <w:rPr>
          <w:b/>
          <w:bCs/>
        </w:rPr>
        <w:t>aupmeeste Liidu ettepanekud K</w:t>
      </w:r>
      <w:r w:rsidRPr="00B377FF">
        <w:rPr>
          <w:b/>
          <w:bCs/>
        </w:rPr>
        <w:t>überturvalisuse seaduse ja teiste seaduste muutmise seadus</w:t>
      </w:r>
      <w:r>
        <w:rPr>
          <w:b/>
          <w:bCs/>
        </w:rPr>
        <w:t xml:space="preserve">e </w:t>
      </w:r>
      <w:r w:rsidRPr="00B377FF">
        <w:rPr>
          <w:b/>
          <w:bCs/>
        </w:rPr>
        <w:t>(küberturvalisuse 2. direktiivi ülevõtmine)</w:t>
      </w:r>
      <w:r>
        <w:rPr>
          <w:b/>
          <w:bCs/>
        </w:rPr>
        <w:t xml:space="preserve"> eelnõule</w:t>
      </w:r>
    </w:p>
    <w:p w14:paraId="575AB660" w14:textId="77777777" w:rsidR="00B377FF" w:rsidRDefault="00B377FF" w:rsidP="00013E1F">
      <w:pPr>
        <w:jc w:val="right"/>
        <w:rPr>
          <w:b/>
          <w:bCs/>
        </w:rPr>
      </w:pPr>
    </w:p>
    <w:p w14:paraId="5B4E198C" w14:textId="24A990A4" w:rsidR="00103F4F" w:rsidRDefault="00103F4F" w:rsidP="00013E1F">
      <w:pPr>
        <w:jc w:val="both"/>
      </w:pPr>
      <w:r>
        <w:t xml:space="preserve">Lugupeetud </w:t>
      </w:r>
      <w:r w:rsidR="00B377FF">
        <w:t>Liisa Pakosta</w:t>
      </w:r>
    </w:p>
    <w:p w14:paraId="3D70AEFC" w14:textId="77777777" w:rsidR="00B377FF" w:rsidRDefault="00B377FF" w:rsidP="00013E1F">
      <w:pPr>
        <w:jc w:val="both"/>
      </w:pPr>
    </w:p>
    <w:p w14:paraId="6D3F8F23" w14:textId="407C17FF" w:rsidR="00B377FF" w:rsidRDefault="00B377FF" w:rsidP="00013E1F">
      <w:pPr>
        <w:jc w:val="both"/>
      </w:pPr>
      <w:r>
        <w:t xml:space="preserve">Eesti Kaupmeeste Liit tänab Justiits-ja Digiministeeriumi võimaluse eest avaldada arvamust </w:t>
      </w:r>
      <w:r w:rsidRPr="00B377FF">
        <w:t>küberturvalisuse 2. direktiivi ülevõtmi</w:t>
      </w:r>
      <w:r>
        <w:t xml:space="preserve">se valikute osas eesti õigusse. Teeme ettepanekud õigusselguse suurendamiseks, et oleks üheselt arusaadav, millised toidukäitlejad kuuluvad direktiivi skoopi ja millised mitte. Kuna Läti ja Leedu on direktiivi juba üle võtnud ning skoobi defineerinud, teeme ettepaneku, et Eesti kasutaks </w:t>
      </w:r>
      <w:r w:rsidR="00D666E4">
        <w:t>sarnast lähenemist</w:t>
      </w:r>
      <w:r w:rsidR="00F0360A">
        <w:t>, mis meie Baltikumi naabrid</w:t>
      </w:r>
      <w:r>
        <w:t xml:space="preserve">. </w:t>
      </w:r>
    </w:p>
    <w:p w14:paraId="1D4C3E18" w14:textId="0FCD498E" w:rsidR="00B377FF" w:rsidRPr="00AD4479" w:rsidRDefault="00B377FF" w:rsidP="00B377FF">
      <w:pPr>
        <w:jc w:val="both"/>
        <w:rPr>
          <w:lang w:val="et-EE"/>
        </w:rPr>
      </w:pPr>
      <w:r>
        <w:rPr>
          <w:lang w:val="et-EE"/>
        </w:rPr>
        <w:t>D</w:t>
      </w:r>
      <w:r w:rsidRPr="00AD4479">
        <w:rPr>
          <w:lang w:val="et-EE"/>
        </w:rPr>
        <w:t>irektiiv piiritleb</w:t>
      </w:r>
      <w:r>
        <w:rPr>
          <w:lang w:val="et-EE"/>
        </w:rPr>
        <w:t xml:space="preserve"> </w:t>
      </w:r>
      <w:r w:rsidR="00F0360A">
        <w:rPr>
          <w:lang w:val="et-EE"/>
        </w:rPr>
        <w:t xml:space="preserve">enda </w:t>
      </w:r>
      <w:r>
        <w:rPr>
          <w:lang w:val="et-EE"/>
        </w:rPr>
        <w:t>skoopi kuuluvad toidukäitlemisettevõtted</w:t>
      </w:r>
      <w:r w:rsidRPr="00AD4479">
        <w:rPr>
          <w:lang w:val="et-EE"/>
        </w:rPr>
        <w:t> järgnevalt:</w:t>
      </w:r>
    </w:p>
    <w:p w14:paraId="10F6EB86" w14:textId="77777777" w:rsidR="00B377FF" w:rsidRPr="00AD4479" w:rsidRDefault="00B377FF" w:rsidP="00B377FF">
      <w:pPr>
        <w:numPr>
          <w:ilvl w:val="0"/>
          <w:numId w:val="1"/>
        </w:numPr>
        <w:jc w:val="both"/>
        <w:rPr>
          <w:lang w:val="et-EE"/>
        </w:rPr>
      </w:pPr>
      <w:r w:rsidRPr="00AD4479">
        <w:rPr>
          <w:lang w:val="et-EE"/>
        </w:rPr>
        <w:t>Toidukäitlemisettevõtja (üldine mõiste) - avalik või eraõiguslik kasumit taotlev või kasumitaotluseta juriidiline isik, kes on seotud toidu ükskõik millisel tootmis-, töötlemis- või turustusetapil toimuva mis tahes tegevusega</w:t>
      </w:r>
    </w:p>
    <w:p w14:paraId="6BB62E1F" w14:textId="77777777" w:rsidR="00B377FF" w:rsidRPr="00AD4479" w:rsidRDefault="00B377FF" w:rsidP="00B377FF">
      <w:pPr>
        <w:numPr>
          <w:ilvl w:val="0"/>
          <w:numId w:val="1"/>
        </w:numPr>
        <w:jc w:val="both"/>
        <w:rPr>
          <w:lang w:val="et-EE"/>
        </w:rPr>
      </w:pPr>
      <w:r w:rsidRPr="00AD4479">
        <w:rPr>
          <w:lang w:val="et-EE"/>
        </w:rPr>
        <w:t>Direktiiv laieneb toidukäitlemisettevõtjatele:</w:t>
      </w:r>
    </w:p>
    <w:p w14:paraId="47144F2D" w14:textId="77777777" w:rsidR="00B377FF" w:rsidRPr="00AD4479" w:rsidRDefault="00B377FF" w:rsidP="00B377FF">
      <w:pPr>
        <w:numPr>
          <w:ilvl w:val="0"/>
          <w:numId w:val="2"/>
        </w:numPr>
        <w:jc w:val="both"/>
        <w:rPr>
          <w:lang w:val="et-EE"/>
        </w:rPr>
      </w:pPr>
      <w:r w:rsidRPr="00AD4479">
        <w:rPr>
          <w:lang w:val="et-EE"/>
        </w:rPr>
        <w:t>kes tegelevad hulgimüügi, tööstusliku tootmise ja töötlemisega ning</w:t>
      </w:r>
    </w:p>
    <w:p w14:paraId="712E4B2F" w14:textId="77777777" w:rsidR="00B377FF" w:rsidRPr="00AD4479" w:rsidRDefault="00B377FF" w:rsidP="00B377FF">
      <w:pPr>
        <w:numPr>
          <w:ilvl w:val="0"/>
          <w:numId w:val="2"/>
        </w:numPr>
        <w:jc w:val="both"/>
        <w:rPr>
          <w:lang w:val="et-EE"/>
        </w:rPr>
      </w:pPr>
      <w:r w:rsidRPr="00AD4479">
        <w:rPr>
          <w:lang w:val="et-EE"/>
        </w:rPr>
        <w:t>kelle puhul on täidetud järgmised tingimused:</w:t>
      </w:r>
    </w:p>
    <w:p w14:paraId="1807421D" w14:textId="77777777" w:rsidR="00B377FF" w:rsidRPr="00AD4479" w:rsidRDefault="00B377FF" w:rsidP="00B377FF">
      <w:pPr>
        <w:numPr>
          <w:ilvl w:val="0"/>
          <w:numId w:val="3"/>
        </w:numPr>
        <w:jc w:val="both"/>
        <w:rPr>
          <w:lang w:val="et-EE"/>
        </w:rPr>
      </w:pPr>
      <w:r w:rsidRPr="00AD4479">
        <w:rPr>
          <w:lang w:val="et-EE"/>
        </w:rPr>
        <w:t>ta osutab teenuseid või tegutseb Euroopa Liidus;</w:t>
      </w:r>
    </w:p>
    <w:p w14:paraId="698005B5" w14:textId="77777777" w:rsidR="00B377FF" w:rsidRPr="00AD4479" w:rsidRDefault="00B377FF" w:rsidP="00B377FF">
      <w:pPr>
        <w:numPr>
          <w:ilvl w:val="0"/>
          <w:numId w:val="3"/>
        </w:numPr>
        <w:jc w:val="both"/>
        <w:rPr>
          <w:lang w:val="et-EE"/>
        </w:rPr>
      </w:pPr>
      <w:r w:rsidRPr="00AD4479">
        <w:rPr>
          <w:lang w:val="et-EE"/>
        </w:rPr>
        <w:t>tal on majandusaasta jooksul keskmisel 50 või rohkem töötajat; ja</w:t>
      </w:r>
    </w:p>
    <w:p w14:paraId="6F67F347" w14:textId="77777777" w:rsidR="00B377FF" w:rsidRPr="00AD4479" w:rsidRDefault="00B377FF" w:rsidP="00B377FF">
      <w:pPr>
        <w:numPr>
          <w:ilvl w:val="0"/>
          <w:numId w:val="3"/>
        </w:numPr>
        <w:jc w:val="both"/>
        <w:rPr>
          <w:lang w:val="et-EE"/>
        </w:rPr>
      </w:pPr>
      <w:r w:rsidRPr="00AD4479">
        <w:rPr>
          <w:lang w:val="et-EE"/>
        </w:rPr>
        <w:t>tema aasta bilansimaht või aastakäive ületab 10 miljonit eurot.</w:t>
      </w:r>
    </w:p>
    <w:p w14:paraId="44AFE52C" w14:textId="77777777" w:rsidR="00F0360A" w:rsidRDefault="00F0360A" w:rsidP="00B377FF">
      <w:pPr>
        <w:jc w:val="both"/>
        <w:rPr>
          <w:lang w:val="et-EE"/>
        </w:rPr>
      </w:pPr>
      <w:r>
        <w:rPr>
          <w:lang w:val="et-EE"/>
        </w:rPr>
        <w:t xml:space="preserve">Leedu </w:t>
      </w:r>
      <w:hyperlink r:id="rId8" w:history="1">
        <w:r w:rsidRPr="00F0360A">
          <w:rPr>
            <w:rStyle w:val="Hyperlink"/>
            <w:lang w:val="et-EE"/>
          </w:rPr>
          <w:t>küberturvalisuse seadus</w:t>
        </w:r>
      </w:hyperlink>
      <w:r>
        <w:rPr>
          <w:lang w:val="et-EE"/>
        </w:rPr>
        <w:t xml:space="preserve">es, millega on NIS2 üle võetud, loetletakse lisades 1 ja 2 sektorid, millele küberturbe nõuded laienevad. (sarnaselt direktiivile) Kaubandus on lisas 2 „teiste oluliste sektorite“ seas defineeritud selliselt: </w:t>
      </w:r>
    </w:p>
    <w:tbl>
      <w:tblPr>
        <w:tblW w:w="3704" w:type="pct"/>
        <w:shd w:val="clear" w:color="auto" w:fill="FFFFFF"/>
        <w:tblCellMar>
          <w:left w:w="0" w:type="dxa"/>
          <w:right w:w="0" w:type="dxa"/>
        </w:tblCellMar>
        <w:tblLook w:val="04A0" w:firstRow="1" w:lastRow="0" w:firstColumn="1" w:lastColumn="0" w:noHBand="0" w:noVBand="1"/>
      </w:tblPr>
      <w:tblGrid>
        <w:gridCol w:w="2074"/>
        <w:gridCol w:w="4845"/>
      </w:tblGrid>
      <w:tr w:rsidR="00F0360A" w:rsidRPr="00B377FF" w14:paraId="3BA9A533" w14:textId="77777777" w:rsidTr="00F0360A">
        <w:trPr>
          <w:tblHeader/>
        </w:trPr>
        <w:tc>
          <w:tcPr>
            <w:tcW w:w="1499" w:type="pct"/>
            <w:tcBorders>
              <w:top w:val="single" w:sz="8" w:space="0" w:color="000000"/>
              <w:left w:val="single" w:sz="8" w:space="0" w:color="000000"/>
              <w:bottom w:val="single" w:sz="8" w:space="0" w:color="000000"/>
              <w:right w:val="single" w:sz="8" w:space="0" w:color="000000"/>
            </w:tcBorders>
            <w:shd w:val="clear" w:color="auto" w:fill="FFFFFF"/>
            <w:tcMar>
              <w:top w:w="0" w:type="dxa"/>
              <w:left w:w="85" w:type="dxa"/>
              <w:bottom w:w="0" w:type="dxa"/>
              <w:right w:w="85" w:type="dxa"/>
            </w:tcMar>
            <w:hideMark/>
          </w:tcPr>
          <w:p w14:paraId="0DC6AB26" w14:textId="4AB7CF69" w:rsidR="00F0360A" w:rsidRPr="00B377FF" w:rsidRDefault="00F0360A" w:rsidP="00D3213D">
            <w:pPr>
              <w:jc w:val="both"/>
              <w:rPr>
                <w:lang w:val="en-GB"/>
              </w:rPr>
            </w:pPr>
            <w:r>
              <w:rPr>
                <w:b/>
                <w:bCs/>
                <w:lang w:val="en-GB"/>
              </w:rPr>
              <w:lastRenderedPageBreak/>
              <w:t>Sektor</w:t>
            </w:r>
          </w:p>
        </w:tc>
        <w:tc>
          <w:tcPr>
            <w:tcW w:w="3501" w:type="pct"/>
            <w:tcBorders>
              <w:top w:val="single" w:sz="8" w:space="0" w:color="000000"/>
              <w:left w:val="nil"/>
              <w:bottom w:val="single" w:sz="8" w:space="0" w:color="000000"/>
              <w:right w:val="single" w:sz="8" w:space="0" w:color="000000"/>
            </w:tcBorders>
            <w:shd w:val="clear" w:color="auto" w:fill="FFFFFF"/>
            <w:tcMar>
              <w:top w:w="0" w:type="dxa"/>
              <w:left w:w="85" w:type="dxa"/>
              <w:bottom w:w="0" w:type="dxa"/>
              <w:right w:w="85" w:type="dxa"/>
            </w:tcMar>
            <w:hideMark/>
          </w:tcPr>
          <w:p w14:paraId="3D6736AF" w14:textId="4E613DED" w:rsidR="00F0360A" w:rsidRPr="00B377FF" w:rsidRDefault="00F0360A" w:rsidP="00D3213D">
            <w:pPr>
              <w:jc w:val="both"/>
              <w:rPr>
                <w:lang w:val="en-GB"/>
              </w:rPr>
            </w:pPr>
            <w:r>
              <w:rPr>
                <w:b/>
                <w:bCs/>
                <w:lang w:val="en-GB"/>
              </w:rPr>
              <w:t>Skoobis olevad ettevõtted</w:t>
            </w:r>
          </w:p>
        </w:tc>
      </w:tr>
      <w:tr w:rsidR="00F0360A" w:rsidRPr="00B377FF" w14:paraId="361C6AD5" w14:textId="77777777" w:rsidTr="00F0360A">
        <w:tc>
          <w:tcPr>
            <w:tcW w:w="1499" w:type="pct"/>
            <w:tcBorders>
              <w:top w:val="nil"/>
              <w:left w:val="single" w:sz="8" w:space="0" w:color="000000"/>
              <w:bottom w:val="single" w:sz="8" w:space="0" w:color="000000"/>
              <w:right w:val="single" w:sz="8" w:space="0" w:color="000000"/>
            </w:tcBorders>
            <w:shd w:val="clear" w:color="auto" w:fill="FFFFFF"/>
            <w:tcMar>
              <w:top w:w="0" w:type="dxa"/>
              <w:left w:w="85" w:type="dxa"/>
              <w:bottom w:w="0" w:type="dxa"/>
              <w:right w:w="85" w:type="dxa"/>
            </w:tcMar>
            <w:hideMark/>
          </w:tcPr>
          <w:p w14:paraId="76337642" w14:textId="13326718" w:rsidR="00F0360A" w:rsidRPr="00B377FF" w:rsidRDefault="00F0360A" w:rsidP="00D3213D">
            <w:pPr>
              <w:jc w:val="both"/>
              <w:rPr>
                <w:lang w:val="en-GB"/>
              </w:rPr>
            </w:pPr>
            <w:r w:rsidRPr="00B377FF">
              <w:rPr>
                <w:lang w:val="en-GB"/>
              </w:rPr>
              <w:t xml:space="preserve">4. </w:t>
            </w:r>
            <w:r>
              <w:rPr>
                <w:lang w:val="en-GB"/>
              </w:rPr>
              <w:t>Toidu tootmine, töötlemine ja kaubandus</w:t>
            </w:r>
          </w:p>
        </w:tc>
        <w:tc>
          <w:tcPr>
            <w:tcW w:w="3501" w:type="pct"/>
            <w:tcBorders>
              <w:top w:val="nil"/>
              <w:left w:val="nil"/>
              <w:bottom w:val="single" w:sz="8" w:space="0" w:color="000000"/>
              <w:right w:val="single" w:sz="8" w:space="0" w:color="000000"/>
            </w:tcBorders>
            <w:shd w:val="clear" w:color="auto" w:fill="FFFFFF"/>
            <w:tcMar>
              <w:top w:w="0" w:type="dxa"/>
              <w:left w:w="85" w:type="dxa"/>
              <w:bottom w:w="0" w:type="dxa"/>
              <w:right w:w="85" w:type="dxa"/>
            </w:tcMar>
            <w:hideMark/>
          </w:tcPr>
          <w:p w14:paraId="2BDF71C5" w14:textId="16A89F9A" w:rsidR="00F0360A" w:rsidRPr="00B377FF" w:rsidRDefault="00F0360A" w:rsidP="00D3213D">
            <w:pPr>
              <w:jc w:val="both"/>
              <w:rPr>
                <w:lang w:val="en-GB"/>
              </w:rPr>
            </w:pPr>
            <w:r w:rsidRPr="00B377FF">
              <w:rPr>
                <w:lang w:val="en-GB"/>
              </w:rPr>
              <w:t xml:space="preserve">4.1.1. </w:t>
            </w:r>
            <w:r>
              <w:rPr>
                <w:lang w:val="en-GB"/>
              </w:rPr>
              <w:t xml:space="preserve">Toidukäitlemisettevõtted Artikli 3(2) tähenduses Euroopa Parlamendi ja Nõukogu regulatsioonis </w:t>
            </w:r>
            <w:hyperlink r:id="rId9" w:tgtFrame="_blank" w:history="1">
              <w:r w:rsidRPr="00B377FF">
                <w:rPr>
                  <w:rStyle w:val="Hyperlink"/>
                  <w:lang w:val="en-GB"/>
                </w:rPr>
                <w:t>(EC) No 178/2002</w:t>
              </w:r>
            </w:hyperlink>
            <w:r w:rsidRPr="00B377FF">
              <w:rPr>
                <w:lang w:val="en-GB"/>
              </w:rPr>
              <w:t xml:space="preserve"> </w:t>
            </w:r>
            <w:r>
              <w:rPr>
                <w:lang w:val="en-GB"/>
              </w:rPr>
              <w:t xml:space="preserve">28. jaanuarist 2002, mis sätestab toiduseaduse üldmõisted ja nõuded, loob Euroopa Toiduohutuse Ameti ning toidukäitlemise ohutusnõuded, </w:t>
            </w:r>
            <w:r w:rsidRPr="00F0360A">
              <w:rPr>
                <w:b/>
                <w:bCs/>
                <w:lang w:val="en-GB"/>
              </w:rPr>
              <w:t>kes tegelevad toidu hulgimüügiga, tööstusliku tootmise ja tööstusliku töötlemisega.</w:t>
            </w:r>
            <w:r>
              <w:rPr>
                <w:lang w:val="en-GB"/>
              </w:rPr>
              <w:t xml:space="preserve"> </w:t>
            </w:r>
          </w:p>
        </w:tc>
      </w:tr>
    </w:tbl>
    <w:p w14:paraId="79174B5B" w14:textId="77777777" w:rsidR="00F0360A" w:rsidRDefault="00F0360A" w:rsidP="00B377FF">
      <w:pPr>
        <w:jc w:val="both"/>
        <w:rPr>
          <w:lang w:val="et-EE"/>
        </w:rPr>
      </w:pPr>
    </w:p>
    <w:p w14:paraId="06A0BE62" w14:textId="7EF05FFB" w:rsidR="00103F4F" w:rsidRDefault="00F0360A" w:rsidP="00AC7ACF">
      <w:pPr>
        <w:jc w:val="both"/>
        <w:rPr>
          <w:lang w:val="et-EE"/>
        </w:rPr>
      </w:pPr>
      <w:r>
        <w:rPr>
          <w:lang w:val="en-GB"/>
        </w:rPr>
        <w:t>Leedu küberturvalisuse seaduse artikkel 11 paragrahv 4, jagu 1 sätestab üldised nõuded muudele olulistele sektoritele, mis piirab seaduse kehtivuse vaid nendele toidukäitlemisettevõtetele, kes vastavad</w:t>
      </w:r>
      <w:r w:rsidR="00D666E4">
        <w:rPr>
          <w:lang w:val="en-GB"/>
        </w:rPr>
        <w:t xml:space="preserve"> suuruse, põhitegevusala ja üle poole käibest toidu hulgimüügist tulemise kriteeriumitele. Teeme ettepaneku, et Eesti kasutaks analoogset piirangut, et</w:t>
      </w:r>
      <w:r>
        <w:rPr>
          <w:lang w:val="en-GB"/>
        </w:rPr>
        <w:t>: “</w:t>
      </w:r>
      <w:r w:rsidRPr="00B377FF">
        <w:rPr>
          <w:b/>
          <w:bCs/>
          <w:lang w:val="et-EE"/>
        </w:rPr>
        <w:t>Nõuded kohalduvad üksnes ettevõtetele,</w:t>
      </w:r>
      <w:r w:rsidR="00AC7ACF" w:rsidRPr="00CC687F">
        <w:rPr>
          <w:b/>
          <w:bCs/>
          <w:lang w:val="et-EE"/>
        </w:rPr>
        <w:t xml:space="preserve"> kelle töötajate arv on üle 50 ning aastakäive üle 10 miljoni euro ja</w:t>
      </w:r>
      <w:r w:rsidRPr="00B377FF">
        <w:rPr>
          <w:b/>
          <w:bCs/>
          <w:lang w:val="et-EE"/>
        </w:rPr>
        <w:t xml:space="preserve"> kui nende </w:t>
      </w:r>
      <w:r w:rsidR="00AC7ACF" w:rsidRPr="00CC687F">
        <w:rPr>
          <w:b/>
          <w:bCs/>
          <w:lang w:val="et-EE"/>
        </w:rPr>
        <w:t>põhi</w:t>
      </w:r>
      <w:r w:rsidRPr="00B377FF">
        <w:rPr>
          <w:b/>
          <w:bCs/>
          <w:lang w:val="et-EE"/>
        </w:rPr>
        <w:t>tegev</w:t>
      </w:r>
      <w:r w:rsidR="00AC7ACF" w:rsidRPr="00CC687F">
        <w:rPr>
          <w:b/>
          <w:bCs/>
          <w:lang w:val="et-EE"/>
        </w:rPr>
        <w:t>u</w:t>
      </w:r>
      <w:r w:rsidRPr="00B377FF">
        <w:rPr>
          <w:b/>
          <w:bCs/>
          <w:lang w:val="et-EE"/>
        </w:rPr>
        <w:t>salaks on</w:t>
      </w:r>
      <w:r w:rsidR="00AC7ACF" w:rsidRPr="00CC687F">
        <w:rPr>
          <w:b/>
          <w:bCs/>
          <w:lang w:val="et-EE"/>
        </w:rPr>
        <w:t xml:space="preserve"> toidu</w:t>
      </w:r>
      <w:r w:rsidRPr="00B377FF">
        <w:rPr>
          <w:b/>
          <w:bCs/>
          <w:lang w:val="et-EE"/>
        </w:rPr>
        <w:t xml:space="preserve">  tööstuslik tootmine,</w:t>
      </w:r>
      <w:r w:rsidR="00AC7ACF" w:rsidRPr="00CC687F">
        <w:rPr>
          <w:b/>
          <w:bCs/>
          <w:lang w:val="et-EE"/>
        </w:rPr>
        <w:t xml:space="preserve"> toidu tööstuslik</w:t>
      </w:r>
      <w:r w:rsidRPr="00B377FF">
        <w:rPr>
          <w:b/>
          <w:bCs/>
          <w:lang w:val="et-EE"/>
        </w:rPr>
        <w:t xml:space="preserve"> töötlemine või </w:t>
      </w:r>
      <w:r w:rsidR="00AC7ACF" w:rsidRPr="00CC687F">
        <w:rPr>
          <w:b/>
          <w:bCs/>
          <w:lang w:val="et-EE"/>
        </w:rPr>
        <w:t xml:space="preserve">toidu </w:t>
      </w:r>
      <w:r w:rsidRPr="00B377FF">
        <w:rPr>
          <w:b/>
          <w:bCs/>
          <w:lang w:val="et-EE"/>
        </w:rPr>
        <w:t>hulgikaubandus ja nimetatud tegevuste  osutamisest saadav aastak</w:t>
      </w:r>
      <w:r w:rsidR="00AC7ACF" w:rsidRPr="00CC687F">
        <w:rPr>
          <w:b/>
          <w:bCs/>
          <w:lang w:val="et-EE"/>
        </w:rPr>
        <w:t>äive</w:t>
      </w:r>
      <w:r w:rsidRPr="00B377FF">
        <w:rPr>
          <w:b/>
          <w:bCs/>
          <w:lang w:val="et-EE"/>
        </w:rPr>
        <w:t xml:space="preserve"> ületab </w:t>
      </w:r>
      <w:r w:rsidR="00D666E4">
        <w:rPr>
          <w:b/>
          <w:bCs/>
          <w:lang w:val="et-EE"/>
        </w:rPr>
        <w:t>9</w:t>
      </w:r>
      <w:r w:rsidRPr="00B377FF">
        <w:rPr>
          <w:b/>
          <w:bCs/>
          <w:lang w:val="et-EE"/>
        </w:rPr>
        <w:t>0% ettevõte aastak</w:t>
      </w:r>
      <w:r w:rsidR="00AC7ACF" w:rsidRPr="00CC687F">
        <w:rPr>
          <w:b/>
          <w:bCs/>
          <w:lang w:val="et-EE"/>
        </w:rPr>
        <w:t>äibest</w:t>
      </w:r>
      <w:r w:rsidRPr="00B377FF">
        <w:rPr>
          <w:lang w:val="et-EE"/>
        </w:rPr>
        <w:t>.</w:t>
      </w:r>
      <w:r w:rsidR="00AC7ACF">
        <w:rPr>
          <w:rStyle w:val="FootnoteReference"/>
          <w:lang w:val="et-EE"/>
        </w:rPr>
        <w:footnoteReference w:id="1"/>
      </w:r>
      <w:r w:rsidR="00AC7ACF">
        <w:rPr>
          <w:lang w:val="et-EE"/>
        </w:rPr>
        <w:t>“</w:t>
      </w:r>
      <w:r w:rsidRPr="00B377FF">
        <w:rPr>
          <w:lang w:val="et-EE"/>
        </w:rPr>
        <w:br/>
      </w:r>
    </w:p>
    <w:p w14:paraId="28AFC941" w14:textId="35CFC384" w:rsidR="00AC7ACF" w:rsidRPr="00CC687F" w:rsidRDefault="00AC7ACF" w:rsidP="00AC7ACF">
      <w:pPr>
        <w:jc w:val="both"/>
        <w:rPr>
          <w:b/>
          <w:bCs/>
          <w:lang w:val="et-EE"/>
        </w:rPr>
      </w:pPr>
      <w:r>
        <w:rPr>
          <w:lang w:val="et-EE"/>
        </w:rPr>
        <w:t xml:space="preserve">Selline definitsioon võimaldab piiritleda direktiivi skoobi ettevõtetega, kelle põhitegevusala on toidu hulgikaubandus või selle tööstuslikes kogustes tootmine või töötlemine. Direktiivi alt jäävad välja sellisel juhul keskmise suurusega ja suuremad ettevõtted, kes muu tegevuse kõrvalt toovad ka maale mõningaid toiduaineid (näiteks ehituspoed, kelle sortimendis on ka toitu, alkoholi maaletoojad, kes toovad maale ka mõningaid maiustusi) või töötlevad väikestes kogustes toitu (näiteks kauplused, kus küpsetatakse grillkana või saiakesi). </w:t>
      </w:r>
      <w:r w:rsidR="00CC687F">
        <w:rPr>
          <w:lang w:val="et-EE"/>
        </w:rPr>
        <w:t xml:space="preserve">Samuti on direktiivi skoobist väljas toidu jaekaubandus, ühetaoliselt teiste EL liikmesriikidega. </w:t>
      </w:r>
      <w:r w:rsidR="00CC687F" w:rsidRPr="00CC687F">
        <w:rPr>
          <w:b/>
          <w:bCs/>
          <w:lang w:val="et-EE"/>
        </w:rPr>
        <w:t>Soovitame eelnõu seletuskirjas need asjaolud välja tuua ning välistatud tegevused kasvõi näidetena välja tuua, et vähendada hilisemaid vaidlusi ja kulusid nii riigile kui turuosalistele.</w:t>
      </w:r>
    </w:p>
    <w:p w14:paraId="6063133B" w14:textId="2B26491C" w:rsidR="00AC7ACF" w:rsidRDefault="00AC7ACF" w:rsidP="00AC7ACF">
      <w:pPr>
        <w:jc w:val="both"/>
        <w:rPr>
          <w:lang w:val="et-EE"/>
        </w:rPr>
      </w:pPr>
      <w:r>
        <w:rPr>
          <w:lang w:val="et-EE"/>
        </w:rPr>
        <w:t>Skoopi jäävad keskmise suurusega ja suuremad toidu maaletoojad, kes tegutsevad sageli ka Läti ja Leedu turul ja on ka nendes riikides direktiivi skoobis</w:t>
      </w:r>
      <w:r w:rsidR="00CC687F">
        <w:rPr>
          <w:lang w:val="et-EE"/>
        </w:rPr>
        <w:t xml:space="preserve"> (näiteks puu-ja juurviljade maaletoojad, horeca </w:t>
      </w:r>
      <w:r w:rsidR="00CC687F">
        <w:rPr>
          <w:lang w:val="et-EE"/>
        </w:rPr>
        <w:lastRenderedPageBreak/>
        <w:t>sektori varustajad, kuivainete ja muu kauasäiliva kauba maaletoojad)</w:t>
      </w:r>
      <w:r>
        <w:rPr>
          <w:lang w:val="et-EE"/>
        </w:rPr>
        <w:t xml:space="preserve">. </w:t>
      </w:r>
      <w:r w:rsidR="00CC687F">
        <w:rPr>
          <w:lang w:val="et-EE"/>
        </w:rPr>
        <w:t xml:space="preserve">Samuti jäävad skoopi kõik peamised toidutööstused, kes Eestis toitu valmistavad. </w:t>
      </w:r>
    </w:p>
    <w:p w14:paraId="144B6E25" w14:textId="77777777" w:rsidR="00CC687F" w:rsidRDefault="00CC687F" w:rsidP="00AC7ACF">
      <w:pPr>
        <w:jc w:val="both"/>
        <w:rPr>
          <w:lang w:val="et-EE"/>
        </w:rPr>
      </w:pPr>
    </w:p>
    <w:p w14:paraId="575CEE14" w14:textId="046879CC" w:rsidR="00CC687F" w:rsidRDefault="00CC687F" w:rsidP="00AC7ACF">
      <w:pPr>
        <w:jc w:val="both"/>
        <w:rPr>
          <w:lang w:val="et-EE"/>
        </w:rPr>
      </w:pPr>
      <w:r>
        <w:rPr>
          <w:lang w:val="et-EE"/>
        </w:rPr>
        <w:t xml:space="preserve">Palume antud teema arutamiseks ka ministriga kohtumist, võimalusel veebruarikuus. </w:t>
      </w:r>
    </w:p>
    <w:p w14:paraId="448F3D00" w14:textId="77777777" w:rsidR="00CC687F" w:rsidRDefault="00CC687F" w:rsidP="00AC7ACF">
      <w:pPr>
        <w:jc w:val="both"/>
        <w:rPr>
          <w:lang w:val="et-EE"/>
        </w:rPr>
      </w:pPr>
    </w:p>
    <w:p w14:paraId="6EAD625A" w14:textId="416FE800" w:rsidR="00CC687F" w:rsidRDefault="00CC687F" w:rsidP="00AC7ACF">
      <w:pPr>
        <w:jc w:val="both"/>
        <w:rPr>
          <w:lang w:val="et-EE"/>
        </w:rPr>
      </w:pPr>
      <w:r>
        <w:rPr>
          <w:lang w:val="et-EE"/>
        </w:rPr>
        <w:t>Lugupidamisega</w:t>
      </w:r>
    </w:p>
    <w:p w14:paraId="6C69FB56" w14:textId="77777777" w:rsidR="00CC687F" w:rsidRDefault="00CC687F" w:rsidP="00AC7ACF">
      <w:pPr>
        <w:jc w:val="both"/>
        <w:rPr>
          <w:lang w:val="et-EE"/>
        </w:rPr>
      </w:pPr>
    </w:p>
    <w:p w14:paraId="6E23EC81" w14:textId="41D3C695" w:rsidR="00CC687F" w:rsidRDefault="00CC687F" w:rsidP="00AC7ACF">
      <w:pPr>
        <w:jc w:val="both"/>
        <w:rPr>
          <w:lang w:val="et-EE"/>
        </w:rPr>
      </w:pPr>
      <w:r>
        <w:rPr>
          <w:lang w:val="et-EE"/>
        </w:rPr>
        <w:t>Nele Peil</w:t>
      </w:r>
    </w:p>
    <w:p w14:paraId="72CE0E35" w14:textId="59A6F384" w:rsidR="00CC687F" w:rsidRPr="00103F4F" w:rsidRDefault="00CC687F" w:rsidP="00AC7ACF">
      <w:pPr>
        <w:jc w:val="both"/>
        <w:rPr>
          <w:lang w:val="et-EE"/>
        </w:rPr>
      </w:pPr>
      <w:r>
        <w:rPr>
          <w:lang w:val="et-EE"/>
        </w:rPr>
        <w:t>Eesti Kaupmeeste Liidu tegevjuht</w:t>
      </w:r>
    </w:p>
    <w:sectPr w:rsidR="00CC687F" w:rsidRPr="00103F4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C1D2" w14:textId="77777777" w:rsidR="00682F3F" w:rsidRDefault="00682F3F" w:rsidP="00B377FF">
      <w:pPr>
        <w:spacing w:after="0" w:line="240" w:lineRule="auto"/>
      </w:pPr>
      <w:r>
        <w:separator/>
      </w:r>
    </w:p>
  </w:endnote>
  <w:endnote w:type="continuationSeparator" w:id="0">
    <w:p w14:paraId="476957E6" w14:textId="77777777" w:rsidR="00682F3F" w:rsidRDefault="00682F3F" w:rsidP="00B3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D5DCC" w14:paraId="689373CE" w14:textId="77777777" w:rsidTr="00D3213D">
      <w:trPr>
        <w:trHeight w:val="323"/>
      </w:trPr>
      <w:tc>
        <w:tcPr>
          <w:tcW w:w="3116" w:type="dxa"/>
          <w:tcBorders>
            <w:top w:val="single" w:sz="8" w:space="0" w:color="auto"/>
          </w:tcBorders>
        </w:tcPr>
        <w:p w14:paraId="40DF6120" w14:textId="77777777" w:rsidR="009D5DCC" w:rsidRPr="002202BC" w:rsidRDefault="009D5DCC" w:rsidP="009D5DCC">
          <w:pPr>
            <w:pStyle w:val="Footer"/>
            <w:tabs>
              <w:tab w:val="left" w:pos="2200"/>
            </w:tabs>
            <w:rPr>
              <w:rFonts w:ascii="Arial" w:hAnsi="Arial" w:cs="Arial"/>
              <w:sz w:val="21"/>
              <w:szCs w:val="21"/>
            </w:rPr>
          </w:pPr>
        </w:p>
      </w:tc>
      <w:tc>
        <w:tcPr>
          <w:tcW w:w="3117" w:type="dxa"/>
          <w:tcBorders>
            <w:top w:val="single" w:sz="8" w:space="0" w:color="auto"/>
          </w:tcBorders>
        </w:tcPr>
        <w:p w14:paraId="549DE4DC" w14:textId="77777777" w:rsidR="009D5DCC" w:rsidRPr="002202BC" w:rsidRDefault="009D5DCC" w:rsidP="009D5DCC">
          <w:pPr>
            <w:pStyle w:val="Footer"/>
            <w:tabs>
              <w:tab w:val="left" w:pos="2200"/>
            </w:tabs>
            <w:jc w:val="center"/>
            <w:rPr>
              <w:rFonts w:ascii="Arial" w:hAnsi="Arial" w:cs="Arial"/>
              <w:sz w:val="21"/>
              <w:szCs w:val="21"/>
              <w:lang w:val="fi-FI"/>
            </w:rPr>
          </w:pPr>
        </w:p>
      </w:tc>
      <w:tc>
        <w:tcPr>
          <w:tcW w:w="3117" w:type="dxa"/>
          <w:tcBorders>
            <w:top w:val="single" w:sz="8" w:space="0" w:color="auto"/>
          </w:tcBorders>
        </w:tcPr>
        <w:p w14:paraId="4861BCC4" w14:textId="77777777" w:rsidR="009D5DCC" w:rsidRPr="002202BC" w:rsidRDefault="009D5DCC" w:rsidP="009D5DCC">
          <w:pPr>
            <w:pStyle w:val="Footer"/>
            <w:tabs>
              <w:tab w:val="left" w:pos="2200"/>
            </w:tabs>
            <w:jc w:val="right"/>
            <w:rPr>
              <w:rFonts w:ascii="Arial" w:hAnsi="Arial" w:cs="Arial"/>
              <w:sz w:val="21"/>
              <w:szCs w:val="21"/>
            </w:rPr>
          </w:pPr>
        </w:p>
      </w:tc>
    </w:tr>
    <w:tr w:rsidR="009D5DCC" w14:paraId="15ACBAAF" w14:textId="77777777" w:rsidTr="00D3213D">
      <w:trPr>
        <w:trHeight w:val="323"/>
      </w:trPr>
      <w:tc>
        <w:tcPr>
          <w:tcW w:w="3116" w:type="dxa"/>
        </w:tcPr>
        <w:p w14:paraId="7BCEA669" w14:textId="77777777" w:rsidR="009D5DCC" w:rsidRPr="002202BC" w:rsidRDefault="009D5DCC" w:rsidP="009D5DCC">
          <w:pPr>
            <w:pStyle w:val="Footer"/>
            <w:tabs>
              <w:tab w:val="left" w:pos="2200"/>
            </w:tabs>
            <w:rPr>
              <w:rFonts w:ascii="Arial" w:hAnsi="Arial" w:cs="Arial"/>
              <w:color w:val="003366"/>
              <w:sz w:val="21"/>
              <w:szCs w:val="21"/>
            </w:rPr>
          </w:pPr>
          <w:r w:rsidRPr="002202BC">
            <w:rPr>
              <w:rFonts w:ascii="Arial" w:hAnsi="Arial" w:cs="Arial"/>
              <w:sz w:val="21"/>
              <w:szCs w:val="21"/>
            </w:rPr>
            <w:t>Eesti Kaupmeeste Liit</w:t>
          </w:r>
        </w:p>
      </w:tc>
      <w:tc>
        <w:tcPr>
          <w:tcW w:w="3117" w:type="dxa"/>
        </w:tcPr>
        <w:p w14:paraId="41D2FEA9" w14:textId="77777777" w:rsidR="009D5DCC" w:rsidRPr="002202BC" w:rsidRDefault="009D5DCC" w:rsidP="009D5DCC">
          <w:pPr>
            <w:pStyle w:val="Footer"/>
            <w:tabs>
              <w:tab w:val="left" w:pos="2200"/>
            </w:tabs>
            <w:jc w:val="center"/>
            <w:rPr>
              <w:rFonts w:ascii="Arial" w:hAnsi="Arial" w:cs="Arial"/>
              <w:color w:val="003366"/>
              <w:sz w:val="21"/>
              <w:szCs w:val="21"/>
            </w:rPr>
          </w:pPr>
          <w:r w:rsidRPr="002202BC">
            <w:rPr>
              <w:rFonts w:ascii="Arial" w:hAnsi="Arial" w:cs="Arial"/>
              <w:sz w:val="21"/>
              <w:szCs w:val="21"/>
              <w:lang w:val="fi-FI"/>
            </w:rPr>
            <w:t xml:space="preserve">Tel.  +372 </w:t>
          </w:r>
          <w:r>
            <w:rPr>
              <w:rFonts w:ascii="Arial" w:hAnsi="Arial" w:cs="Arial"/>
              <w:sz w:val="21"/>
              <w:szCs w:val="21"/>
              <w:lang w:val="fi-FI"/>
            </w:rPr>
            <w:t>53 506 825</w:t>
          </w:r>
        </w:p>
      </w:tc>
      <w:tc>
        <w:tcPr>
          <w:tcW w:w="3117" w:type="dxa"/>
        </w:tcPr>
        <w:p w14:paraId="56805E41" w14:textId="77777777" w:rsidR="009D5DCC" w:rsidRPr="002202BC" w:rsidRDefault="009D5DCC" w:rsidP="009D5DCC">
          <w:pPr>
            <w:pStyle w:val="Footer"/>
            <w:tabs>
              <w:tab w:val="left" w:pos="2200"/>
            </w:tabs>
            <w:jc w:val="right"/>
            <w:rPr>
              <w:rFonts w:ascii="Arial" w:hAnsi="Arial" w:cs="Arial"/>
              <w:color w:val="003366"/>
              <w:sz w:val="21"/>
              <w:szCs w:val="21"/>
            </w:rPr>
          </w:pPr>
          <w:r w:rsidRPr="002202BC">
            <w:rPr>
              <w:rFonts w:ascii="Arial" w:hAnsi="Arial" w:cs="Arial"/>
              <w:sz w:val="21"/>
              <w:szCs w:val="21"/>
            </w:rPr>
            <w:t>Reg kood : 80007134</w:t>
          </w:r>
        </w:p>
      </w:tc>
    </w:tr>
    <w:tr w:rsidR="009D5DCC" w14:paraId="25D585C0" w14:textId="77777777" w:rsidTr="00D3213D">
      <w:trPr>
        <w:trHeight w:val="323"/>
      </w:trPr>
      <w:tc>
        <w:tcPr>
          <w:tcW w:w="3116" w:type="dxa"/>
        </w:tcPr>
        <w:p w14:paraId="1E82819A" w14:textId="77777777" w:rsidR="009D5DCC" w:rsidRPr="002202BC" w:rsidRDefault="009D5DCC" w:rsidP="009D5DCC">
          <w:pPr>
            <w:pStyle w:val="Footer"/>
            <w:tabs>
              <w:tab w:val="left" w:pos="2200"/>
            </w:tabs>
            <w:rPr>
              <w:rFonts w:ascii="Arial" w:hAnsi="Arial" w:cs="Arial"/>
              <w:color w:val="003366"/>
              <w:sz w:val="21"/>
              <w:szCs w:val="21"/>
            </w:rPr>
          </w:pPr>
          <w:r w:rsidRPr="002202BC">
            <w:rPr>
              <w:rFonts w:ascii="Arial" w:hAnsi="Arial" w:cs="Arial"/>
              <w:sz w:val="21"/>
              <w:szCs w:val="21"/>
            </w:rPr>
            <w:t>Kiriku 6, Tallinn 10130</w:t>
          </w:r>
        </w:p>
      </w:tc>
      <w:tc>
        <w:tcPr>
          <w:tcW w:w="3117" w:type="dxa"/>
        </w:tcPr>
        <w:p w14:paraId="0FB2A300" w14:textId="77777777" w:rsidR="009D5DCC" w:rsidRPr="002202BC" w:rsidRDefault="009D5DCC" w:rsidP="009D5DCC">
          <w:pPr>
            <w:pStyle w:val="Footer"/>
            <w:tabs>
              <w:tab w:val="left" w:pos="2200"/>
            </w:tabs>
            <w:jc w:val="center"/>
            <w:rPr>
              <w:rFonts w:ascii="Arial" w:hAnsi="Arial" w:cs="Arial"/>
              <w:color w:val="003366"/>
              <w:sz w:val="21"/>
              <w:szCs w:val="21"/>
            </w:rPr>
          </w:pPr>
          <w:r w:rsidRPr="002202BC">
            <w:rPr>
              <w:rFonts w:ascii="Arial" w:hAnsi="Arial" w:cs="Arial"/>
              <w:sz w:val="21"/>
              <w:szCs w:val="21"/>
              <w:lang w:val="fi-FI"/>
            </w:rPr>
            <w:t>www.kaupmeesteliit.ee</w:t>
          </w:r>
        </w:p>
      </w:tc>
      <w:tc>
        <w:tcPr>
          <w:tcW w:w="3117" w:type="dxa"/>
        </w:tcPr>
        <w:p w14:paraId="5323F75D" w14:textId="77777777" w:rsidR="009D5DCC" w:rsidRPr="002202BC" w:rsidRDefault="009D5DCC" w:rsidP="009D5DCC">
          <w:pPr>
            <w:pStyle w:val="Footer"/>
            <w:tabs>
              <w:tab w:val="left" w:pos="2200"/>
            </w:tabs>
            <w:jc w:val="right"/>
            <w:rPr>
              <w:rFonts w:ascii="Arial" w:hAnsi="Arial" w:cs="Arial"/>
              <w:color w:val="003366"/>
              <w:sz w:val="21"/>
              <w:szCs w:val="21"/>
            </w:rPr>
          </w:pPr>
          <w:r w:rsidRPr="002202BC">
            <w:rPr>
              <w:rFonts w:ascii="Arial" w:hAnsi="Arial" w:cs="Arial"/>
              <w:sz w:val="21"/>
              <w:szCs w:val="21"/>
            </w:rPr>
            <w:t>info@kaupmeesteliit.ee</w:t>
          </w:r>
        </w:p>
      </w:tc>
    </w:tr>
  </w:tbl>
  <w:p w14:paraId="0084CA90" w14:textId="77777777" w:rsidR="009D5DCC" w:rsidRDefault="009D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3FA2" w14:textId="77777777" w:rsidR="00682F3F" w:rsidRDefault="00682F3F" w:rsidP="00B377FF">
      <w:pPr>
        <w:spacing w:after="0" w:line="240" w:lineRule="auto"/>
      </w:pPr>
      <w:r>
        <w:separator/>
      </w:r>
    </w:p>
  </w:footnote>
  <w:footnote w:type="continuationSeparator" w:id="0">
    <w:p w14:paraId="7B53D056" w14:textId="77777777" w:rsidR="00682F3F" w:rsidRDefault="00682F3F" w:rsidP="00B377FF">
      <w:pPr>
        <w:spacing w:after="0" w:line="240" w:lineRule="auto"/>
      </w:pPr>
      <w:r>
        <w:continuationSeparator/>
      </w:r>
    </w:p>
  </w:footnote>
  <w:footnote w:id="1">
    <w:p w14:paraId="3008D224" w14:textId="5A46F0E7" w:rsidR="00AC7ACF" w:rsidRDefault="00AC7ACF" w:rsidP="00AC7ACF">
      <w:pPr>
        <w:pStyle w:val="FootnoteText"/>
      </w:pPr>
      <w:r>
        <w:rPr>
          <w:rStyle w:val="FootnoteReference"/>
        </w:rPr>
        <w:footnoteRef/>
      </w:r>
      <w:r>
        <w:t xml:space="preserve"> </w:t>
      </w:r>
      <w:r w:rsidR="00D666E4">
        <w:t xml:space="preserve">Leedu definitsioon: </w:t>
      </w:r>
      <w:r>
        <w:t>Article 11 Paragraph 4 section 1 of the Law: “the entity provides services and (or) carries out activities in the sectors specified in Annex 2 to this Law, exceeds the number of employees of small enterprises and the limits defining financial data set out in the Law on small and medium-sized business development, and the amount of annual income from the services and /or activities carried out by this entity specified in this paragraph exceeds 50 percent of the total annual income of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77FF" w14:paraId="340D8687" w14:textId="77777777" w:rsidTr="00D3213D">
      <w:trPr>
        <w:trHeight w:val="1560"/>
      </w:trPr>
      <w:tc>
        <w:tcPr>
          <w:tcW w:w="4675" w:type="dxa"/>
        </w:tcPr>
        <w:p w14:paraId="35A2865C" w14:textId="77777777" w:rsidR="00B377FF" w:rsidRDefault="00B377FF" w:rsidP="00B377FF">
          <w:pPr>
            <w:jc w:val="both"/>
            <w:rPr>
              <w:rFonts w:ascii="Arial" w:hAnsi="Arial" w:cs="Arial"/>
              <w:color w:val="000000"/>
              <w:sz w:val="22"/>
              <w:szCs w:val="22"/>
            </w:rPr>
          </w:pPr>
          <w:r w:rsidRPr="00B82DD2">
            <w:rPr>
              <w:noProof/>
            </w:rPr>
            <w:drawing>
              <wp:inline distT="0" distB="0" distL="0" distR="0" wp14:anchorId="05EEAA4F" wp14:editId="30085432">
                <wp:extent cx="1892595" cy="69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8072" cy="748334"/>
                        </a:xfrm>
                        <a:prstGeom prst="rect">
                          <a:avLst/>
                        </a:prstGeom>
                      </pic:spPr>
                    </pic:pic>
                  </a:graphicData>
                </a:graphic>
              </wp:inline>
            </w:drawing>
          </w:r>
        </w:p>
      </w:tc>
      <w:tc>
        <w:tcPr>
          <w:tcW w:w="4675" w:type="dxa"/>
          <w:vAlign w:val="bottom"/>
        </w:tcPr>
        <w:p w14:paraId="37093829" w14:textId="37020F13" w:rsidR="00B377FF" w:rsidRDefault="00B377FF" w:rsidP="00B377FF">
          <w:pPr>
            <w:jc w:val="right"/>
            <w:rPr>
              <w:rFonts w:ascii="Arial" w:hAnsi="Arial" w:cs="Arial"/>
              <w:b/>
              <w:bCs/>
              <w:color w:val="000000"/>
              <w:sz w:val="22"/>
              <w:szCs w:val="22"/>
            </w:rPr>
          </w:pPr>
          <w:r>
            <w:rPr>
              <w:rFonts w:ascii="Arial" w:hAnsi="Arial" w:cs="Arial"/>
              <w:b/>
              <w:bCs/>
              <w:color w:val="000000"/>
              <w:sz w:val="22"/>
              <w:szCs w:val="22"/>
            </w:rPr>
            <w:t>ARVAMUS</w:t>
          </w:r>
        </w:p>
        <w:p w14:paraId="77BC5455" w14:textId="2B9E959D" w:rsidR="00B377FF" w:rsidRDefault="00B377FF" w:rsidP="00B377FF">
          <w:pPr>
            <w:jc w:val="right"/>
            <w:rPr>
              <w:rFonts w:ascii="Arial" w:hAnsi="Arial" w:cs="Arial"/>
              <w:b/>
              <w:bCs/>
              <w:color w:val="000000"/>
              <w:sz w:val="22"/>
              <w:szCs w:val="22"/>
            </w:rPr>
          </w:pPr>
          <w:r>
            <w:rPr>
              <w:rFonts w:ascii="Arial" w:hAnsi="Arial" w:cs="Arial"/>
              <w:b/>
              <w:bCs/>
              <w:color w:val="000000"/>
              <w:sz w:val="22"/>
              <w:szCs w:val="22"/>
            </w:rPr>
            <w:t>31.01.2025</w:t>
          </w:r>
        </w:p>
        <w:p w14:paraId="0EFC401C" w14:textId="77777777" w:rsidR="00B377FF" w:rsidRPr="00B82DD2" w:rsidRDefault="00B377FF" w:rsidP="00B377FF">
          <w:pPr>
            <w:jc w:val="right"/>
            <w:rPr>
              <w:rFonts w:ascii="Arial" w:hAnsi="Arial" w:cs="Arial"/>
              <w:b/>
              <w:bCs/>
              <w:color w:val="000000"/>
              <w:sz w:val="22"/>
              <w:szCs w:val="22"/>
            </w:rPr>
          </w:pPr>
        </w:p>
        <w:p w14:paraId="7E343621" w14:textId="77777777" w:rsidR="00B377FF" w:rsidRDefault="00B377FF" w:rsidP="00B377FF">
          <w:pPr>
            <w:jc w:val="right"/>
            <w:rPr>
              <w:rFonts w:ascii="Arial" w:hAnsi="Arial" w:cs="Arial"/>
              <w:color w:val="000000"/>
              <w:sz w:val="22"/>
              <w:szCs w:val="22"/>
            </w:rPr>
          </w:pPr>
        </w:p>
      </w:tc>
    </w:tr>
  </w:tbl>
  <w:p w14:paraId="05769C7A" w14:textId="77777777" w:rsidR="00B377FF" w:rsidRDefault="00B37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84B42"/>
    <w:multiLevelType w:val="hybridMultilevel"/>
    <w:tmpl w:val="74D2103C"/>
    <w:lvl w:ilvl="0" w:tplc="CA1416F0">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34D45895"/>
    <w:multiLevelType w:val="hybridMultilevel"/>
    <w:tmpl w:val="16DC60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9DA7FDA"/>
    <w:multiLevelType w:val="hybridMultilevel"/>
    <w:tmpl w:val="8C648140"/>
    <w:lvl w:ilvl="0" w:tplc="7DF6A2DC">
      <w:start w:val="2"/>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C672B68"/>
    <w:multiLevelType w:val="hybridMultilevel"/>
    <w:tmpl w:val="1EA043AC"/>
    <w:lvl w:ilvl="0" w:tplc="96D87AE8">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4" w15:restartNumberingAfterBreak="0">
    <w:nsid w:val="5EE07611"/>
    <w:multiLevelType w:val="hybridMultilevel"/>
    <w:tmpl w:val="7F0C906C"/>
    <w:lvl w:ilvl="0" w:tplc="7DF6A2DC">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F701727"/>
    <w:multiLevelType w:val="hybridMultilevel"/>
    <w:tmpl w:val="A0EC0B5C"/>
    <w:lvl w:ilvl="0" w:tplc="6248C986">
      <w:start w:val="1"/>
      <w:numFmt w:val="lowerLetter"/>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6" w15:restartNumberingAfterBreak="0">
    <w:nsid w:val="767E0EDB"/>
    <w:multiLevelType w:val="hybridMultilevel"/>
    <w:tmpl w:val="C722ECE2"/>
    <w:lvl w:ilvl="0" w:tplc="04250001">
      <w:start w:val="1"/>
      <w:numFmt w:val="bullet"/>
      <w:lvlText w:val=""/>
      <w:lvlJc w:val="left"/>
      <w:pPr>
        <w:ind w:left="1800" w:hanging="360"/>
      </w:pPr>
      <w:rPr>
        <w:rFonts w:ascii="Symbol" w:hAnsi="Symbol" w:hint="default"/>
      </w:rPr>
    </w:lvl>
    <w:lvl w:ilvl="1" w:tplc="04250003">
      <w:start w:val="1"/>
      <w:numFmt w:val="bullet"/>
      <w:lvlText w:val="o"/>
      <w:lvlJc w:val="left"/>
      <w:pPr>
        <w:ind w:left="2520" w:hanging="360"/>
      </w:pPr>
      <w:rPr>
        <w:rFonts w:ascii="Courier New" w:hAnsi="Courier New" w:cs="Courier New" w:hint="default"/>
      </w:rPr>
    </w:lvl>
    <w:lvl w:ilvl="2" w:tplc="04250005">
      <w:start w:val="1"/>
      <w:numFmt w:val="bullet"/>
      <w:lvlText w:val=""/>
      <w:lvlJc w:val="left"/>
      <w:pPr>
        <w:ind w:left="3240" w:hanging="360"/>
      </w:pPr>
      <w:rPr>
        <w:rFonts w:ascii="Wingdings" w:hAnsi="Wingdings" w:hint="default"/>
      </w:rPr>
    </w:lvl>
    <w:lvl w:ilvl="3" w:tplc="04250001">
      <w:start w:val="1"/>
      <w:numFmt w:val="bullet"/>
      <w:lvlText w:val=""/>
      <w:lvlJc w:val="left"/>
      <w:pPr>
        <w:ind w:left="3960" w:hanging="360"/>
      </w:pPr>
      <w:rPr>
        <w:rFonts w:ascii="Symbol" w:hAnsi="Symbol" w:hint="default"/>
      </w:rPr>
    </w:lvl>
    <w:lvl w:ilvl="4" w:tplc="04250003">
      <w:start w:val="1"/>
      <w:numFmt w:val="bullet"/>
      <w:lvlText w:val="o"/>
      <w:lvlJc w:val="left"/>
      <w:pPr>
        <w:ind w:left="4680" w:hanging="360"/>
      </w:pPr>
      <w:rPr>
        <w:rFonts w:ascii="Courier New" w:hAnsi="Courier New" w:cs="Courier New" w:hint="default"/>
      </w:rPr>
    </w:lvl>
    <w:lvl w:ilvl="5" w:tplc="04250005">
      <w:start w:val="1"/>
      <w:numFmt w:val="bullet"/>
      <w:lvlText w:val=""/>
      <w:lvlJc w:val="left"/>
      <w:pPr>
        <w:ind w:left="5400" w:hanging="360"/>
      </w:pPr>
      <w:rPr>
        <w:rFonts w:ascii="Wingdings" w:hAnsi="Wingdings" w:hint="default"/>
      </w:rPr>
    </w:lvl>
    <w:lvl w:ilvl="6" w:tplc="04250001">
      <w:start w:val="1"/>
      <w:numFmt w:val="bullet"/>
      <w:lvlText w:val=""/>
      <w:lvlJc w:val="left"/>
      <w:pPr>
        <w:ind w:left="6120" w:hanging="360"/>
      </w:pPr>
      <w:rPr>
        <w:rFonts w:ascii="Symbol" w:hAnsi="Symbol" w:hint="default"/>
      </w:rPr>
    </w:lvl>
    <w:lvl w:ilvl="7" w:tplc="04250003">
      <w:start w:val="1"/>
      <w:numFmt w:val="bullet"/>
      <w:lvlText w:val="o"/>
      <w:lvlJc w:val="left"/>
      <w:pPr>
        <w:ind w:left="6840" w:hanging="360"/>
      </w:pPr>
      <w:rPr>
        <w:rFonts w:ascii="Courier New" w:hAnsi="Courier New" w:cs="Courier New" w:hint="default"/>
      </w:rPr>
    </w:lvl>
    <w:lvl w:ilvl="8" w:tplc="04250005">
      <w:start w:val="1"/>
      <w:numFmt w:val="bullet"/>
      <w:lvlText w:val=""/>
      <w:lvlJc w:val="left"/>
      <w:pPr>
        <w:ind w:left="7560" w:hanging="360"/>
      </w:pPr>
      <w:rPr>
        <w:rFonts w:ascii="Wingdings" w:hAnsi="Wingdings" w:hint="default"/>
      </w:rPr>
    </w:lvl>
  </w:abstractNum>
  <w:abstractNum w:abstractNumId="7" w15:restartNumberingAfterBreak="0">
    <w:nsid w:val="7B6361CD"/>
    <w:multiLevelType w:val="hybridMultilevel"/>
    <w:tmpl w:val="1DA48184"/>
    <w:lvl w:ilvl="0" w:tplc="2D289F7E">
      <w:start w:val="4"/>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647632147">
    <w:abstractNumId w:val="0"/>
  </w:num>
  <w:num w:numId="2" w16cid:durableId="1504858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338175">
    <w:abstractNumId w:val="6"/>
  </w:num>
  <w:num w:numId="4" w16cid:durableId="1496455300">
    <w:abstractNumId w:val="0"/>
  </w:num>
  <w:num w:numId="5" w16cid:durableId="628319036">
    <w:abstractNumId w:val="5"/>
  </w:num>
  <w:num w:numId="6" w16cid:durableId="1143352477">
    <w:abstractNumId w:val="1"/>
  </w:num>
  <w:num w:numId="7" w16cid:durableId="1074737629">
    <w:abstractNumId w:val="7"/>
  </w:num>
  <w:num w:numId="8" w16cid:durableId="782454196">
    <w:abstractNumId w:val="4"/>
  </w:num>
  <w:num w:numId="9" w16cid:durableId="920262599">
    <w:abstractNumId w:val="3"/>
  </w:num>
  <w:num w:numId="10" w16cid:durableId="879173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79"/>
    <w:rsid w:val="00013E1F"/>
    <w:rsid w:val="00016141"/>
    <w:rsid w:val="00103F4F"/>
    <w:rsid w:val="00175B27"/>
    <w:rsid w:val="002D6927"/>
    <w:rsid w:val="003173CF"/>
    <w:rsid w:val="00452D73"/>
    <w:rsid w:val="00682F3F"/>
    <w:rsid w:val="00687D73"/>
    <w:rsid w:val="007162C0"/>
    <w:rsid w:val="009D5DCC"/>
    <w:rsid w:val="00AC7ACF"/>
    <w:rsid w:val="00AD184C"/>
    <w:rsid w:val="00AD4479"/>
    <w:rsid w:val="00B377FF"/>
    <w:rsid w:val="00BD1D49"/>
    <w:rsid w:val="00CC2AA9"/>
    <w:rsid w:val="00CC687F"/>
    <w:rsid w:val="00D666E4"/>
    <w:rsid w:val="00F0360A"/>
    <w:rsid w:val="00F1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7BFE"/>
  <w15:chartTrackingRefBased/>
  <w15:docId w15:val="{447AA6E6-925B-4E42-B4E4-018BA673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0A"/>
  </w:style>
  <w:style w:type="paragraph" w:styleId="Heading1">
    <w:name w:val="heading 1"/>
    <w:basedOn w:val="Normal"/>
    <w:next w:val="Normal"/>
    <w:link w:val="Heading1Char"/>
    <w:uiPriority w:val="9"/>
    <w:qFormat/>
    <w:rsid w:val="00AD4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479"/>
    <w:rPr>
      <w:rFonts w:eastAsiaTheme="majorEastAsia" w:cstheme="majorBidi"/>
      <w:color w:val="272727" w:themeColor="text1" w:themeTint="D8"/>
    </w:rPr>
  </w:style>
  <w:style w:type="paragraph" w:styleId="Title">
    <w:name w:val="Title"/>
    <w:basedOn w:val="Normal"/>
    <w:next w:val="Normal"/>
    <w:link w:val="TitleChar"/>
    <w:uiPriority w:val="10"/>
    <w:qFormat/>
    <w:rsid w:val="00AD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479"/>
    <w:pPr>
      <w:spacing w:before="160"/>
      <w:jc w:val="center"/>
    </w:pPr>
    <w:rPr>
      <w:i/>
      <w:iCs/>
      <w:color w:val="404040" w:themeColor="text1" w:themeTint="BF"/>
    </w:rPr>
  </w:style>
  <w:style w:type="character" w:customStyle="1" w:styleId="QuoteChar">
    <w:name w:val="Quote Char"/>
    <w:basedOn w:val="DefaultParagraphFont"/>
    <w:link w:val="Quote"/>
    <w:uiPriority w:val="29"/>
    <w:rsid w:val="00AD4479"/>
    <w:rPr>
      <w:i/>
      <w:iCs/>
      <w:color w:val="404040" w:themeColor="text1" w:themeTint="BF"/>
    </w:rPr>
  </w:style>
  <w:style w:type="paragraph" w:styleId="ListParagraph">
    <w:name w:val="List Paragraph"/>
    <w:basedOn w:val="Normal"/>
    <w:uiPriority w:val="34"/>
    <w:qFormat/>
    <w:rsid w:val="00AD4479"/>
    <w:pPr>
      <w:ind w:left="720"/>
      <w:contextualSpacing/>
    </w:pPr>
  </w:style>
  <w:style w:type="character" w:styleId="IntenseEmphasis">
    <w:name w:val="Intense Emphasis"/>
    <w:basedOn w:val="DefaultParagraphFont"/>
    <w:uiPriority w:val="21"/>
    <w:qFormat/>
    <w:rsid w:val="00AD4479"/>
    <w:rPr>
      <w:i/>
      <w:iCs/>
      <w:color w:val="0F4761" w:themeColor="accent1" w:themeShade="BF"/>
    </w:rPr>
  </w:style>
  <w:style w:type="paragraph" w:styleId="IntenseQuote">
    <w:name w:val="Intense Quote"/>
    <w:basedOn w:val="Normal"/>
    <w:next w:val="Normal"/>
    <w:link w:val="IntenseQuoteChar"/>
    <w:uiPriority w:val="30"/>
    <w:qFormat/>
    <w:rsid w:val="00AD4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479"/>
    <w:rPr>
      <w:i/>
      <w:iCs/>
      <w:color w:val="0F4761" w:themeColor="accent1" w:themeShade="BF"/>
    </w:rPr>
  </w:style>
  <w:style w:type="character" w:styleId="IntenseReference">
    <w:name w:val="Intense Reference"/>
    <w:basedOn w:val="DefaultParagraphFont"/>
    <w:uiPriority w:val="32"/>
    <w:qFormat/>
    <w:rsid w:val="00AD4479"/>
    <w:rPr>
      <w:b/>
      <w:bCs/>
      <w:smallCaps/>
      <w:color w:val="0F4761" w:themeColor="accent1" w:themeShade="BF"/>
      <w:spacing w:val="5"/>
    </w:rPr>
  </w:style>
  <w:style w:type="character" w:styleId="Hyperlink">
    <w:name w:val="Hyperlink"/>
    <w:basedOn w:val="DefaultParagraphFont"/>
    <w:uiPriority w:val="99"/>
    <w:unhideWhenUsed/>
    <w:rsid w:val="00AD4479"/>
    <w:rPr>
      <w:color w:val="467886" w:themeColor="hyperlink"/>
      <w:u w:val="single"/>
    </w:rPr>
  </w:style>
  <w:style w:type="character" w:styleId="UnresolvedMention">
    <w:name w:val="Unresolved Mention"/>
    <w:basedOn w:val="DefaultParagraphFont"/>
    <w:uiPriority w:val="99"/>
    <w:semiHidden/>
    <w:unhideWhenUsed/>
    <w:rsid w:val="00AD4479"/>
    <w:rPr>
      <w:color w:val="605E5C"/>
      <w:shd w:val="clear" w:color="auto" w:fill="E1DFDD"/>
    </w:rPr>
  </w:style>
  <w:style w:type="paragraph" w:styleId="Header">
    <w:name w:val="header"/>
    <w:basedOn w:val="Normal"/>
    <w:link w:val="HeaderChar"/>
    <w:uiPriority w:val="99"/>
    <w:unhideWhenUsed/>
    <w:rsid w:val="00B37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7FF"/>
  </w:style>
  <w:style w:type="paragraph" w:styleId="Footer">
    <w:name w:val="footer"/>
    <w:basedOn w:val="Normal"/>
    <w:link w:val="FooterChar"/>
    <w:unhideWhenUsed/>
    <w:rsid w:val="00B377FF"/>
    <w:pPr>
      <w:tabs>
        <w:tab w:val="center" w:pos="4513"/>
        <w:tab w:val="right" w:pos="9026"/>
      </w:tabs>
      <w:spacing w:after="0" w:line="240" w:lineRule="auto"/>
    </w:pPr>
  </w:style>
  <w:style w:type="character" w:customStyle="1" w:styleId="FooterChar">
    <w:name w:val="Footer Char"/>
    <w:basedOn w:val="DefaultParagraphFont"/>
    <w:link w:val="Footer"/>
    <w:rsid w:val="00B377FF"/>
  </w:style>
  <w:style w:type="table" w:styleId="TableGrid">
    <w:name w:val="Table Grid"/>
    <w:basedOn w:val="TableNormal"/>
    <w:uiPriority w:val="59"/>
    <w:rsid w:val="00B377F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60A"/>
    <w:rPr>
      <w:color w:val="96607D" w:themeColor="followedHyperlink"/>
      <w:u w:val="single"/>
    </w:rPr>
  </w:style>
  <w:style w:type="paragraph" w:styleId="FootnoteText">
    <w:name w:val="footnote text"/>
    <w:basedOn w:val="Normal"/>
    <w:link w:val="FootnoteTextChar"/>
    <w:uiPriority w:val="99"/>
    <w:semiHidden/>
    <w:unhideWhenUsed/>
    <w:rsid w:val="00AC7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ACF"/>
    <w:rPr>
      <w:sz w:val="20"/>
      <w:szCs w:val="20"/>
    </w:rPr>
  </w:style>
  <w:style w:type="character" w:styleId="FootnoteReference">
    <w:name w:val="footnote reference"/>
    <w:basedOn w:val="DefaultParagraphFont"/>
    <w:uiPriority w:val="99"/>
    <w:semiHidden/>
    <w:unhideWhenUsed/>
    <w:rsid w:val="00AC7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9493">
      <w:bodyDiv w:val="1"/>
      <w:marLeft w:val="0"/>
      <w:marRight w:val="0"/>
      <w:marTop w:val="0"/>
      <w:marBottom w:val="0"/>
      <w:divBdr>
        <w:top w:val="none" w:sz="0" w:space="0" w:color="auto"/>
        <w:left w:val="none" w:sz="0" w:space="0" w:color="auto"/>
        <w:bottom w:val="none" w:sz="0" w:space="0" w:color="auto"/>
        <w:right w:val="none" w:sz="0" w:space="0" w:color="auto"/>
      </w:divBdr>
    </w:div>
    <w:div w:id="705712117">
      <w:bodyDiv w:val="1"/>
      <w:marLeft w:val="0"/>
      <w:marRight w:val="0"/>
      <w:marTop w:val="0"/>
      <w:marBottom w:val="0"/>
      <w:divBdr>
        <w:top w:val="none" w:sz="0" w:space="0" w:color="auto"/>
        <w:left w:val="none" w:sz="0" w:space="0" w:color="auto"/>
        <w:bottom w:val="none" w:sz="0" w:space="0" w:color="auto"/>
        <w:right w:val="none" w:sz="0" w:space="0" w:color="auto"/>
      </w:divBdr>
    </w:div>
    <w:div w:id="834145962">
      <w:bodyDiv w:val="1"/>
      <w:marLeft w:val="0"/>
      <w:marRight w:val="0"/>
      <w:marTop w:val="0"/>
      <w:marBottom w:val="0"/>
      <w:divBdr>
        <w:top w:val="none" w:sz="0" w:space="0" w:color="auto"/>
        <w:left w:val="none" w:sz="0" w:space="0" w:color="auto"/>
        <w:bottom w:val="none" w:sz="0" w:space="0" w:color="auto"/>
        <w:right w:val="none" w:sz="0" w:space="0" w:color="auto"/>
      </w:divBdr>
    </w:div>
    <w:div w:id="972059121">
      <w:bodyDiv w:val="1"/>
      <w:marLeft w:val="0"/>
      <w:marRight w:val="0"/>
      <w:marTop w:val="0"/>
      <w:marBottom w:val="0"/>
      <w:divBdr>
        <w:top w:val="none" w:sz="0" w:space="0" w:color="auto"/>
        <w:left w:val="none" w:sz="0" w:space="0" w:color="auto"/>
        <w:bottom w:val="none" w:sz="0" w:space="0" w:color="auto"/>
        <w:right w:val="none" w:sz="0" w:space="0" w:color="auto"/>
      </w:divBdr>
    </w:div>
    <w:div w:id="1084495858">
      <w:bodyDiv w:val="1"/>
      <w:marLeft w:val="0"/>
      <w:marRight w:val="0"/>
      <w:marTop w:val="0"/>
      <w:marBottom w:val="0"/>
      <w:divBdr>
        <w:top w:val="none" w:sz="0" w:space="0" w:color="auto"/>
        <w:left w:val="none" w:sz="0" w:space="0" w:color="auto"/>
        <w:bottom w:val="none" w:sz="0" w:space="0" w:color="auto"/>
        <w:right w:val="none" w:sz="0" w:space="0" w:color="auto"/>
      </w:divBdr>
    </w:div>
    <w:div w:id="1255280767">
      <w:bodyDiv w:val="1"/>
      <w:marLeft w:val="0"/>
      <w:marRight w:val="0"/>
      <w:marTop w:val="0"/>
      <w:marBottom w:val="0"/>
      <w:divBdr>
        <w:top w:val="none" w:sz="0" w:space="0" w:color="auto"/>
        <w:left w:val="none" w:sz="0" w:space="0" w:color="auto"/>
        <w:bottom w:val="none" w:sz="0" w:space="0" w:color="auto"/>
        <w:right w:val="none" w:sz="0" w:space="0" w:color="auto"/>
      </w:divBdr>
    </w:div>
    <w:div w:id="1334914178">
      <w:bodyDiv w:val="1"/>
      <w:marLeft w:val="0"/>
      <w:marRight w:val="0"/>
      <w:marTop w:val="0"/>
      <w:marBottom w:val="0"/>
      <w:divBdr>
        <w:top w:val="none" w:sz="0" w:space="0" w:color="auto"/>
        <w:left w:val="none" w:sz="0" w:space="0" w:color="auto"/>
        <w:bottom w:val="none" w:sz="0" w:space="0" w:color="auto"/>
        <w:right w:val="none" w:sz="0" w:space="0" w:color="auto"/>
      </w:divBdr>
    </w:div>
    <w:div w:id="1337150879">
      <w:bodyDiv w:val="1"/>
      <w:marLeft w:val="0"/>
      <w:marRight w:val="0"/>
      <w:marTop w:val="0"/>
      <w:marBottom w:val="0"/>
      <w:divBdr>
        <w:top w:val="none" w:sz="0" w:space="0" w:color="auto"/>
        <w:left w:val="none" w:sz="0" w:space="0" w:color="auto"/>
        <w:bottom w:val="none" w:sz="0" w:space="0" w:color="auto"/>
        <w:right w:val="none" w:sz="0" w:space="0" w:color="auto"/>
      </w:divBdr>
    </w:div>
    <w:div w:id="1432555480">
      <w:bodyDiv w:val="1"/>
      <w:marLeft w:val="0"/>
      <w:marRight w:val="0"/>
      <w:marTop w:val="0"/>
      <w:marBottom w:val="0"/>
      <w:divBdr>
        <w:top w:val="none" w:sz="0" w:space="0" w:color="auto"/>
        <w:left w:val="none" w:sz="0" w:space="0" w:color="auto"/>
        <w:bottom w:val="none" w:sz="0" w:space="0" w:color="auto"/>
        <w:right w:val="none" w:sz="0" w:space="0" w:color="auto"/>
      </w:divBdr>
    </w:div>
    <w:div w:id="20893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f6958c2085dd11e495dc9901227533ee/as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LIT/TXT/?uri=CELEX:32002R0178&amp;locale=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1891-8922-41CC-B619-C5A968E2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620</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Peil</dc:creator>
  <cp:keywords/>
  <dc:description/>
  <cp:lastModifiedBy>Nele Peil</cp:lastModifiedBy>
  <cp:revision>4</cp:revision>
  <dcterms:created xsi:type="dcterms:W3CDTF">2025-01-28T15:05:00Z</dcterms:created>
  <dcterms:modified xsi:type="dcterms:W3CDTF">2025-01-31T13:21:00Z</dcterms:modified>
</cp:coreProperties>
</file>